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B3" w:rsidRPr="00756AEA" w:rsidRDefault="005D0EB3" w:rsidP="005D0EB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Container Gardening</w:t>
      </w:r>
    </w:p>
    <w:p w:rsidR="005D0EB3" w:rsidRPr="00756AEA" w:rsidRDefault="005D0EB3" w:rsidP="005D0EB3">
      <w:pPr>
        <w:jc w:val="center"/>
        <w:rPr>
          <w:b/>
          <w:sz w:val="28"/>
          <w:szCs w:val="28"/>
        </w:rPr>
      </w:pPr>
      <w:r w:rsidRPr="00756AEA">
        <w:rPr>
          <w:b/>
          <w:sz w:val="28"/>
          <w:szCs w:val="28"/>
        </w:rPr>
        <w:t>Julie Schroer and Jodie Ramsay</w:t>
      </w:r>
    </w:p>
    <w:p w:rsidR="005D0EB3" w:rsidRPr="00756AEA" w:rsidRDefault="005D0EB3" w:rsidP="005D0EB3">
      <w:pPr>
        <w:jc w:val="center"/>
        <w:rPr>
          <w:b/>
          <w:sz w:val="28"/>
          <w:szCs w:val="28"/>
        </w:rPr>
      </w:pPr>
      <w:r w:rsidRPr="00756AEA">
        <w:rPr>
          <w:b/>
          <w:sz w:val="28"/>
          <w:szCs w:val="28"/>
        </w:rPr>
        <w:t>Jean’s - The Right Plant Place</w:t>
      </w:r>
    </w:p>
    <w:p w:rsidR="005D0EB3" w:rsidRDefault="005D0EB3" w:rsidP="005D0EB3"/>
    <w:p w:rsidR="005D0EB3" w:rsidRDefault="005D0EB3" w:rsidP="005D0EB3"/>
    <w:p w:rsidR="005D0EB3" w:rsidRDefault="005D0EB3" w:rsidP="005D0EB3">
      <w:r>
        <w:t>Container gardens are an excellent way to add color and pizazz to any size space. For best results, start with quality materials (good grade</w:t>
      </w:r>
      <w:r w:rsidR="00362011">
        <w:t xml:space="preserve"> potting mix and healthy plants)!  </w:t>
      </w:r>
    </w:p>
    <w:p w:rsidR="005D0EB3" w:rsidRDefault="005D0EB3" w:rsidP="005D0EB3"/>
    <w:p w:rsidR="00362011" w:rsidRDefault="00362011" w:rsidP="005D0EB3">
      <w:r>
        <w:t>Things to consider:</w:t>
      </w:r>
    </w:p>
    <w:p w:rsidR="00362011" w:rsidRDefault="00362011" w:rsidP="005D0EB3"/>
    <w:p w:rsidR="00362011" w:rsidRDefault="00362011" w:rsidP="00362011">
      <w:pPr>
        <w:pStyle w:val="ListParagraph"/>
        <w:numPr>
          <w:ilvl w:val="0"/>
          <w:numId w:val="1"/>
        </w:numPr>
      </w:pPr>
      <w:r>
        <w:t>Containers:  Nearly anyth</w:t>
      </w:r>
      <w:r w:rsidR="007772BA">
        <w:t>ing can be made into a planter!</w:t>
      </w:r>
      <w:r>
        <w:t xml:space="preserve"> Make sure whatever you use has holes for drainage and that it compleme</w:t>
      </w:r>
      <w:r w:rsidR="007772BA">
        <w:t>nts the plants you plan to use</w:t>
      </w:r>
      <w:r>
        <w:t xml:space="preserve"> Plants that like dry conditions will do well in terra cotta pots, while moisture-loving plants will do better in plastic or </w:t>
      </w:r>
      <w:r w:rsidR="00FC01FA">
        <w:t>ceramic</w:t>
      </w:r>
      <w:r w:rsidR="007772BA">
        <w:t xml:space="preserve"> pots. </w:t>
      </w:r>
      <w:r w:rsidR="00681EBF">
        <w:t>We have seen all kinds of old ‘junk’ made into planters, including wheelbarrows, batht</w:t>
      </w:r>
      <w:r w:rsidR="007772BA">
        <w:t>ubs, grills, and even a canoe! Line with landscape fabric to prevent soil from escaping.</w:t>
      </w:r>
    </w:p>
    <w:p w:rsidR="00362011" w:rsidRDefault="00362011" w:rsidP="00362011">
      <w:pPr>
        <w:pStyle w:val="ListParagraph"/>
        <w:ind w:left="360"/>
      </w:pPr>
    </w:p>
    <w:p w:rsidR="00D55AE9" w:rsidRDefault="00D55AE9" w:rsidP="00362011">
      <w:pPr>
        <w:pStyle w:val="ListParagraph"/>
        <w:numPr>
          <w:ilvl w:val="0"/>
          <w:numId w:val="1"/>
        </w:numPr>
      </w:pPr>
      <w:r>
        <w:t>Light:  Many gardeners overestimate how much sun particular areas receive. You may need to place your pots, then time how long it</w:t>
      </w:r>
      <w:r w:rsidR="007772BA">
        <w:t xml:space="preserve"> takes for the sun to hit them.</w:t>
      </w:r>
      <w:r>
        <w:t xml:space="preserve"> There are even </w:t>
      </w:r>
      <w:r w:rsidR="007772BA">
        <w:t>sunlight calculators available!</w:t>
      </w:r>
      <w:r>
        <w:t xml:space="preserve"> The amount of light available will dictate what plants you put into your containers as well as </w:t>
      </w:r>
      <w:r w:rsidR="007772BA">
        <w:t>how much you’ll need to water. Of course, your previous experience with plants will help guide your decisions.</w:t>
      </w:r>
    </w:p>
    <w:p w:rsidR="00D55AE9" w:rsidRDefault="00D55AE9" w:rsidP="00D55AE9">
      <w:pPr>
        <w:pStyle w:val="ListParagraph"/>
      </w:pPr>
    </w:p>
    <w:p w:rsidR="00362011" w:rsidRDefault="00362011" w:rsidP="00362011">
      <w:pPr>
        <w:pStyle w:val="ListParagraph"/>
        <w:numPr>
          <w:ilvl w:val="0"/>
          <w:numId w:val="1"/>
        </w:numPr>
      </w:pPr>
      <w:r>
        <w:t xml:space="preserve">Soil:  Most ‘soil’ mixes have little to no </w:t>
      </w:r>
      <w:r w:rsidR="004C2DD5">
        <w:t>actual dirt</w:t>
      </w:r>
      <w:r w:rsidR="007772BA">
        <w:t>.</w:t>
      </w:r>
      <w:r>
        <w:t xml:space="preserve"> Components of soil-less mixes </w:t>
      </w:r>
      <w:r w:rsidR="004C2DD5">
        <w:t xml:space="preserve">include peat </w:t>
      </w:r>
      <w:r>
        <w:t>moss, bark, vermiculite, perlite, an</w:t>
      </w:r>
      <w:r w:rsidR="007772BA">
        <w:t xml:space="preserve">d/or sand in some combination. </w:t>
      </w:r>
      <w:r>
        <w:t>Garden soil is problematic for containers as it is much heavier than soil-less mixes an</w:t>
      </w:r>
      <w:r w:rsidR="007772BA">
        <w:t xml:space="preserve">d can harbor insects or fungi. </w:t>
      </w:r>
      <w:r w:rsidR="008709CF">
        <w:t>Some of the mixes have fertilizer in them, but you can easily add time-r</w:t>
      </w:r>
      <w:r w:rsidR="007772BA">
        <w:t xml:space="preserve">elease fertilizer if you wish. </w:t>
      </w:r>
      <w:r w:rsidR="008709CF">
        <w:t xml:space="preserve">Succulent soil is different from other mixes as it will have more bark </w:t>
      </w:r>
      <w:r w:rsidR="007772BA">
        <w:t xml:space="preserve">and sand </w:t>
      </w:r>
      <w:r w:rsidR="008709CF">
        <w:t>a</w:t>
      </w:r>
      <w:r w:rsidR="007772BA">
        <w:t>nd thus better drainage. We DO recommend changing container soil yearly; plants will remove most nutrients, and even adding fertilizer won’t bring them back entirely.</w:t>
      </w:r>
    </w:p>
    <w:p w:rsidR="00362011" w:rsidRDefault="00362011" w:rsidP="00362011">
      <w:pPr>
        <w:pStyle w:val="ListParagraph"/>
      </w:pPr>
    </w:p>
    <w:p w:rsidR="007772BA" w:rsidRDefault="007772BA" w:rsidP="007772BA">
      <w:pPr>
        <w:pStyle w:val="ListParagraph"/>
        <w:numPr>
          <w:ilvl w:val="0"/>
          <w:numId w:val="1"/>
        </w:numPr>
      </w:pPr>
      <w:r>
        <w:t>Fertilizer:  Early in the season, use a</w:t>
      </w:r>
      <w:r w:rsidR="008F3E52">
        <w:t xml:space="preserve"> 10-10-10 fertilizer.</w:t>
      </w:r>
      <w:r>
        <w:t xml:space="preserve"> The first number relates to nitrogen content, the </w:t>
      </w:r>
      <w:r w:rsidR="008F3E52">
        <w:t>second</w:t>
      </w:r>
      <w:r>
        <w:t xml:space="preserve"> is phosphorous, and the </w:t>
      </w:r>
      <w:r w:rsidR="008F3E52">
        <w:t xml:space="preserve">third is potassium. </w:t>
      </w:r>
      <w:r>
        <w:t>Nitro</w:t>
      </w:r>
      <w:r w:rsidR="008F3E52">
        <w:t>gen stimulates leaf production.</w:t>
      </w:r>
      <w:r>
        <w:t xml:space="preserve"> To encourage flowering, switch to a fertilizer with a high middle number in June.  Petunias will appreciate an ac</w:t>
      </w:r>
      <w:r w:rsidR="008F3E52">
        <w:t xml:space="preserve">id fertilizer such as Miracid. </w:t>
      </w:r>
      <w:r>
        <w:t>Fertilizing every two weeks should be sufficient for most containers (and you can use the fertilizer at about half-s</w:t>
      </w:r>
      <w:r w:rsidR="008F3E52">
        <w:t>trength of what the box says!).</w:t>
      </w:r>
      <w:r>
        <w:t xml:space="preserve"> Another thing that helps plant</w:t>
      </w:r>
      <w:r w:rsidR="008F3E52">
        <w:t>s</w:t>
      </w:r>
      <w:r>
        <w:t xml:space="preserve"> g</w:t>
      </w:r>
      <w:r w:rsidR="008F3E52">
        <w:t>et established</w:t>
      </w:r>
      <w:r>
        <w:t xml:space="preserve"> is mycorrhizal fungi (which is found in some growing media or</w:t>
      </w:r>
      <w:r w:rsidR="008F3E52">
        <w:t xml:space="preserve"> can be purchased separately). </w:t>
      </w:r>
      <w:r>
        <w:t>These fungi help the plants by increasing the surface area of the roots so they can take up water</w:t>
      </w:r>
      <w:r w:rsidR="008F3E52">
        <w:t xml:space="preserve"> and nutrients</w:t>
      </w:r>
      <w:r>
        <w:t xml:space="preserve"> more efficiently.  </w:t>
      </w:r>
    </w:p>
    <w:p w:rsidR="007772BA" w:rsidRDefault="007772BA" w:rsidP="007772BA">
      <w:pPr>
        <w:pStyle w:val="ListParagraph"/>
        <w:ind w:left="360"/>
      </w:pPr>
    </w:p>
    <w:p w:rsidR="007625AA" w:rsidRDefault="00362011" w:rsidP="00362011">
      <w:pPr>
        <w:pStyle w:val="ListParagraph"/>
        <w:numPr>
          <w:ilvl w:val="0"/>
          <w:numId w:val="1"/>
        </w:numPr>
      </w:pPr>
      <w:r>
        <w:t>Watering</w:t>
      </w:r>
      <w:r w:rsidR="007625AA">
        <w:t>:  Containers require regular watering, parti</w:t>
      </w:r>
      <w:r w:rsidR="008F3E52">
        <w:t>cularly as the plants fill out.</w:t>
      </w:r>
      <w:r w:rsidR="007625AA">
        <w:t xml:space="preserve"> It is best to water at the base of the plant rather than w</w:t>
      </w:r>
      <w:r w:rsidR="008F3E52">
        <w:t xml:space="preserve">ater plants overhead. </w:t>
      </w:r>
      <w:r w:rsidR="007625AA">
        <w:t xml:space="preserve">When in doubt, </w:t>
      </w:r>
      <w:r w:rsidR="008F3E52">
        <w:t>poke your finger in it</w:t>
      </w:r>
      <w:r w:rsidR="007625AA">
        <w:t>; if it’s dry at tha</w:t>
      </w:r>
      <w:r w:rsidR="008F3E52">
        <w:t xml:space="preserve">t level, you’ll need to water. </w:t>
      </w:r>
      <w:r w:rsidR="007625AA">
        <w:t xml:space="preserve">It is possible to over-water certain plants, </w:t>
      </w:r>
      <w:r w:rsidR="008709CF">
        <w:t>particular</w:t>
      </w:r>
      <w:r w:rsidR="004C2DD5">
        <w:t>ly</w:t>
      </w:r>
      <w:r w:rsidR="008709CF">
        <w:t xml:space="preserve"> succulents, s</w:t>
      </w:r>
      <w:r w:rsidR="007625AA">
        <w:t xml:space="preserve">o </w:t>
      </w:r>
      <w:r w:rsidR="008F3E52">
        <w:t xml:space="preserve">if you are a chronic over-waterer, </w:t>
      </w:r>
      <w:r w:rsidR="007625AA">
        <w:t xml:space="preserve">watch for that. Watering in the morning is best as that is when plants most efficiently take up water.  </w:t>
      </w:r>
    </w:p>
    <w:p w:rsidR="00362011" w:rsidRDefault="00362011" w:rsidP="00362011">
      <w:pPr>
        <w:pStyle w:val="ListParagraph"/>
        <w:numPr>
          <w:ilvl w:val="0"/>
          <w:numId w:val="1"/>
        </w:numPr>
      </w:pPr>
      <w:r>
        <w:lastRenderedPageBreak/>
        <w:t>Color combinations</w:t>
      </w:r>
      <w:r w:rsidR="007625AA">
        <w:t xml:space="preserve">:  Complementary colors are opposite of each other on the color wheel, </w:t>
      </w:r>
      <w:r w:rsidR="007625AA" w:rsidRPr="007625AA">
        <w:rPr>
          <w:i/>
        </w:rPr>
        <w:t>i.e.</w:t>
      </w:r>
      <w:r w:rsidR="007625AA">
        <w:t xml:space="preserve"> red/green, blue/orange, and purple/yellow.  </w:t>
      </w:r>
      <w:r w:rsidR="00681EBF">
        <w:t xml:space="preserve">Analogous colors are next to each other.  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 xml:space="preserve">Cool colors make areas look larger than they are and don’t draw attention.  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 xml:space="preserve">Warm colors highlight certain areas, make areas look smaller, and draw attention.  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>Monochromatic colors are variants of the same color.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 xml:space="preserve">Black can tone down other colors.  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 xml:space="preserve">White glows after dusk and in shady environments and can make other colors pop.  </w:t>
      </w:r>
    </w:p>
    <w:p w:rsidR="00681EBF" w:rsidRDefault="00681EBF" w:rsidP="00681EBF">
      <w:pPr>
        <w:pStyle w:val="ListParagraph"/>
        <w:ind w:left="1080"/>
      </w:pPr>
    </w:p>
    <w:p w:rsidR="00362011" w:rsidRDefault="00362011" w:rsidP="00362011">
      <w:pPr>
        <w:pStyle w:val="ListParagraph"/>
        <w:numPr>
          <w:ilvl w:val="0"/>
          <w:numId w:val="1"/>
        </w:numPr>
      </w:pPr>
      <w:r>
        <w:t>Plant combinations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>Types of plants</w:t>
      </w:r>
    </w:p>
    <w:p w:rsidR="00681EBF" w:rsidRDefault="00681EBF" w:rsidP="00681EBF">
      <w:pPr>
        <w:pStyle w:val="ListParagraph"/>
        <w:numPr>
          <w:ilvl w:val="2"/>
          <w:numId w:val="1"/>
        </w:numPr>
      </w:pPr>
      <w:r>
        <w:t>Thriller:  dramatic, center of the pot</w:t>
      </w:r>
    </w:p>
    <w:p w:rsidR="00681EBF" w:rsidRDefault="00681EBF" w:rsidP="00681EBF">
      <w:pPr>
        <w:pStyle w:val="ListParagraph"/>
        <w:numPr>
          <w:ilvl w:val="2"/>
          <w:numId w:val="1"/>
        </w:numPr>
      </w:pPr>
      <w:r>
        <w:t>Filler:  contrasts but still compliments the thriller</w:t>
      </w:r>
    </w:p>
    <w:p w:rsidR="00681EBF" w:rsidRDefault="00681EBF" w:rsidP="00681EBF">
      <w:pPr>
        <w:pStyle w:val="ListParagraph"/>
        <w:numPr>
          <w:ilvl w:val="2"/>
          <w:numId w:val="1"/>
        </w:numPr>
      </w:pPr>
      <w:r>
        <w:t>Spiller:  trails over, ‘anchors’ the container</w:t>
      </w:r>
    </w:p>
    <w:p w:rsidR="00681EBF" w:rsidRDefault="008709CF" w:rsidP="00681EBF">
      <w:pPr>
        <w:pStyle w:val="ListParagraph"/>
        <w:numPr>
          <w:ilvl w:val="2"/>
          <w:numId w:val="1"/>
        </w:numPr>
      </w:pPr>
      <w:r>
        <w:t xml:space="preserve">Single plants can be used if they will fill out the container adequately.  </w:t>
      </w:r>
    </w:p>
    <w:p w:rsidR="00681EBF" w:rsidRDefault="00681EBF" w:rsidP="00681EBF">
      <w:pPr>
        <w:pStyle w:val="ListParagraph"/>
        <w:numPr>
          <w:ilvl w:val="2"/>
          <w:numId w:val="1"/>
        </w:numPr>
      </w:pPr>
      <w:r>
        <w:t>Perennials are sometimes used, but most likely won’t survive the winter in the pot.  They can be removed</w:t>
      </w:r>
      <w:r w:rsidR="008709CF">
        <w:t xml:space="preserve"> and planted in the fall</w:t>
      </w:r>
      <w:r w:rsidR="0043316A">
        <w:t xml:space="preserve"> (we recommend using rooting fertilizer)</w:t>
      </w:r>
      <w:r w:rsidR="008709CF">
        <w:t xml:space="preserve">.  </w:t>
      </w:r>
    </w:p>
    <w:p w:rsidR="00681EBF" w:rsidRDefault="0043316A" w:rsidP="00681EBF">
      <w:pPr>
        <w:pStyle w:val="ListParagraph"/>
        <w:numPr>
          <w:ilvl w:val="1"/>
          <w:numId w:val="1"/>
        </w:numPr>
      </w:pPr>
      <w:r>
        <w:t>Plant for</w:t>
      </w:r>
      <w:r w:rsidR="00681EBF">
        <w:t xml:space="preserve"> season</w:t>
      </w:r>
      <w:r>
        <w:t>s</w:t>
      </w:r>
      <w:r w:rsidR="00681EBF">
        <w:t xml:space="preserve"> and/or occasion</w:t>
      </w:r>
      <w:r>
        <w:t>s</w:t>
      </w:r>
      <w:r w:rsidR="008709CF">
        <w:t xml:space="preserve">.  </w:t>
      </w:r>
    </w:p>
    <w:p w:rsidR="00681EBF" w:rsidRDefault="00681EBF" w:rsidP="00681EBF">
      <w:pPr>
        <w:pStyle w:val="ListParagraph"/>
        <w:numPr>
          <w:ilvl w:val="1"/>
          <w:numId w:val="1"/>
        </w:numPr>
      </w:pPr>
      <w:r>
        <w:t>Non-flowering plants can be used in conjunction with or in lieu of flowering plants</w:t>
      </w:r>
      <w:r w:rsidR="008709CF">
        <w:t xml:space="preserve">.  </w:t>
      </w:r>
    </w:p>
    <w:p w:rsidR="00D55AE9" w:rsidRDefault="00D55AE9" w:rsidP="00681EBF">
      <w:pPr>
        <w:pStyle w:val="ListParagraph"/>
        <w:numPr>
          <w:ilvl w:val="1"/>
          <w:numId w:val="1"/>
        </w:numPr>
      </w:pPr>
      <w:r>
        <w:t>Use plants with similar</w:t>
      </w:r>
      <w:r w:rsidR="000F78B2">
        <w:t xml:space="preserve"> light and water</w:t>
      </w:r>
      <w:r>
        <w:t xml:space="preserve"> requirements.  </w:t>
      </w:r>
    </w:p>
    <w:p w:rsidR="00D55AE9" w:rsidRDefault="000F78B2" w:rsidP="00681EBF">
      <w:pPr>
        <w:pStyle w:val="ListParagraph"/>
        <w:numPr>
          <w:ilvl w:val="1"/>
          <w:numId w:val="1"/>
        </w:numPr>
      </w:pPr>
      <w:r>
        <w:t>If you are happy with your containers, k</w:t>
      </w:r>
      <w:r w:rsidR="00D55AE9">
        <w:t>eep the tags</w:t>
      </w:r>
      <w:r w:rsidR="0043316A">
        <w:t xml:space="preserve"> or take notes</w:t>
      </w:r>
      <w:r w:rsidR="00D55AE9">
        <w:t xml:space="preserve">!  </w:t>
      </w:r>
    </w:p>
    <w:p w:rsidR="00681EBF" w:rsidRDefault="00681EBF" w:rsidP="00681EBF">
      <w:pPr>
        <w:pStyle w:val="ListParagraph"/>
        <w:ind w:left="1080"/>
      </w:pPr>
    </w:p>
    <w:p w:rsidR="00681EBF" w:rsidRDefault="00362011" w:rsidP="00681EBF">
      <w:pPr>
        <w:pStyle w:val="ListParagraph"/>
        <w:numPr>
          <w:ilvl w:val="0"/>
          <w:numId w:val="1"/>
        </w:numPr>
      </w:pPr>
      <w:r>
        <w:t>Miniature Gardening</w:t>
      </w:r>
      <w:r w:rsidR="00681EBF">
        <w:t>:  use shallow containers when possible, as many plants used in the</w:t>
      </w:r>
      <w:r w:rsidR="0043316A">
        <w:t xml:space="preserve">se gardens have shallow roots. </w:t>
      </w:r>
      <w:r w:rsidR="00681EBF">
        <w:t xml:space="preserve">Line containers with something for moisture retention </w:t>
      </w:r>
      <w:r w:rsidR="0043316A">
        <w:t xml:space="preserve">and/or to protect your container </w:t>
      </w:r>
      <w:r w:rsidR="00681EBF">
        <w:t>(</w:t>
      </w:r>
      <w:r w:rsidR="00681EBF" w:rsidRPr="00AC098C">
        <w:rPr>
          <w:i/>
        </w:rPr>
        <w:t>i.e.</w:t>
      </w:r>
      <w:r w:rsidR="00681EBF">
        <w:t xml:space="preserve"> plastic, moss, burlap, etc.).  </w:t>
      </w:r>
    </w:p>
    <w:p w:rsidR="00AC098C" w:rsidRDefault="00AC098C" w:rsidP="00AC098C">
      <w:pPr>
        <w:pStyle w:val="ListParagraph"/>
        <w:ind w:left="360"/>
      </w:pPr>
    </w:p>
    <w:p w:rsidR="00AC098C" w:rsidRDefault="00AC098C" w:rsidP="00AC098C">
      <w:pPr>
        <w:pStyle w:val="ListParagraph"/>
        <w:ind w:left="360"/>
      </w:pPr>
    </w:p>
    <w:p w:rsidR="00AC098C" w:rsidRDefault="00AC098C" w:rsidP="00681EBF">
      <w:pPr>
        <w:pStyle w:val="ListParagraph"/>
        <w:ind w:left="360"/>
      </w:pPr>
    </w:p>
    <w:p w:rsidR="0043316A" w:rsidRDefault="0043316A" w:rsidP="00681EBF">
      <w:pPr>
        <w:pStyle w:val="ListParagraph"/>
        <w:ind w:left="360"/>
      </w:pPr>
      <w:bookmarkStart w:id="0" w:name="_GoBack"/>
      <w:bookmarkEnd w:id="0"/>
    </w:p>
    <w:p w:rsidR="00AC098C" w:rsidRDefault="00AC098C" w:rsidP="00AC098C">
      <w:pPr>
        <w:pStyle w:val="ListParagraph"/>
        <w:ind w:left="360"/>
        <w:jc w:val="center"/>
      </w:pPr>
      <w:r w:rsidRPr="001D28F5">
        <w:rPr>
          <w:b/>
          <w:noProof/>
          <w:sz w:val="22"/>
          <w:szCs w:val="22"/>
        </w:rPr>
        <w:drawing>
          <wp:inline distT="0" distB="0" distL="0" distR="0" wp14:anchorId="0DFEF110" wp14:editId="08729DFA">
            <wp:extent cx="2686050" cy="1571625"/>
            <wp:effectExtent l="0" t="0" r="0" b="9525"/>
            <wp:docPr id="1" name="Picture 1" descr="jeans_bus_card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s_bus_card_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C" w:rsidRPr="001D28F5" w:rsidRDefault="00AC098C" w:rsidP="00AC098C">
      <w:pPr>
        <w:jc w:val="center"/>
        <w:rPr>
          <w:b/>
          <w:sz w:val="22"/>
          <w:szCs w:val="22"/>
        </w:rPr>
      </w:pPr>
      <w:r w:rsidRPr="001D28F5">
        <w:rPr>
          <w:b/>
          <w:sz w:val="22"/>
          <w:szCs w:val="22"/>
        </w:rPr>
        <w:t>Jodie Ramsay and Julie Schroer</w:t>
      </w:r>
    </w:p>
    <w:p w:rsidR="00AC098C" w:rsidRDefault="00AC098C" w:rsidP="00AC098C">
      <w:pPr>
        <w:jc w:val="center"/>
        <w:rPr>
          <w:b/>
          <w:sz w:val="22"/>
          <w:szCs w:val="22"/>
        </w:rPr>
      </w:pPr>
      <w:r w:rsidRPr="001D28F5">
        <w:rPr>
          <w:b/>
          <w:sz w:val="22"/>
          <w:szCs w:val="22"/>
        </w:rPr>
        <w:t>Think Spring!</w:t>
      </w:r>
    </w:p>
    <w:p w:rsidR="00AC098C" w:rsidRPr="001D28F5" w:rsidRDefault="00AC098C" w:rsidP="00AC098C">
      <w:pPr>
        <w:jc w:val="center"/>
        <w:rPr>
          <w:b/>
          <w:sz w:val="22"/>
          <w:szCs w:val="22"/>
        </w:rPr>
      </w:pPr>
    </w:p>
    <w:p w:rsidR="00AC098C" w:rsidRPr="001D28F5" w:rsidRDefault="00AC098C" w:rsidP="00AC098C">
      <w:pPr>
        <w:jc w:val="center"/>
        <w:rPr>
          <w:b/>
          <w:sz w:val="22"/>
          <w:szCs w:val="22"/>
        </w:rPr>
      </w:pPr>
      <w:r w:rsidRPr="001D28F5">
        <w:rPr>
          <w:b/>
          <w:sz w:val="22"/>
          <w:szCs w:val="22"/>
        </w:rPr>
        <w:t>Good for 15% off your entire purchase.</w:t>
      </w:r>
    </w:p>
    <w:p w:rsidR="00AC098C" w:rsidRPr="001D28F5" w:rsidRDefault="00AC098C" w:rsidP="00AC098C">
      <w:pPr>
        <w:jc w:val="center"/>
        <w:rPr>
          <w:sz w:val="22"/>
          <w:szCs w:val="22"/>
        </w:rPr>
      </w:pPr>
      <w:r w:rsidRPr="001D28F5">
        <w:rPr>
          <w:sz w:val="22"/>
          <w:szCs w:val="22"/>
        </w:rPr>
        <w:t>Offer good through September 30, 201</w:t>
      </w:r>
      <w:r>
        <w:rPr>
          <w:sz w:val="22"/>
          <w:szCs w:val="22"/>
        </w:rPr>
        <w:t>8</w:t>
      </w:r>
      <w:r w:rsidRPr="001D28F5">
        <w:rPr>
          <w:sz w:val="22"/>
          <w:szCs w:val="22"/>
        </w:rPr>
        <w:t>.</w:t>
      </w:r>
    </w:p>
    <w:p w:rsidR="00AC098C" w:rsidRPr="001D28F5" w:rsidRDefault="00AC098C" w:rsidP="00AC098C">
      <w:pPr>
        <w:jc w:val="center"/>
        <w:rPr>
          <w:sz w:val="22"/>
          <w:szCs w:val="22"/>
        </w:rPr>
      </w:pPr>
      <w:r w:rsidRPr="001D28F5">
        <w:rPr>
          <w:sz w:val="22"/>
          <w:szCs w:val="22"/>
        </w:rPr>
        <w:t>Excludes gift certificates and sale items.</w:t>
      </w:r>
    </w:p>
    <w:p w:rsidR="00AC098C" w:rsidRPr="001D28F5" w:rsidRDefault="00B618CB" w:rsidP="00AC098C">
      <w:pPr>
        <w:jc w:val="center"/>
        <w:rPr>
          <w:b/>
          <w:sz w:val="22"/>
          <w:szCs w:val="22"/>
        </w:rPr>
      </w:pPr>
      <w:hyperlink r:id="rId8" w:history="1">
        <w:r w:rsidR="00AC098C" w:rsidRPr="001D28F5">
          <w:rPr>
            <w:rStyle w:val="Hyperlink"/>
            <w:b/>
            <w:sz w:val="22"/>
            <w:szCs w:val="22"/>
          </w:rPr>
          <w:t>www.rightplantplace.com</w:t>
        </w:r>
      </w:hyperlink>
    </w:p>
    <w:p w:rsidR="005D0EB3" w:rsidRPr="005D0EB3" w:rsidRDefault="00AC098C" w:rsidP="00AC098C">
      <w:pPr>
        <w:jc w:val="center"/>
      </w:pPr>
      <w:r>
        <w:rPr>
          <w:b/>
          <w:sz w:val="22"/>
          <w:szCs w:val="22"/>
        </w:rPr>
        <w:t>Brainerd</w:t>
      </w:r>
    </w:p>
    <w:sectPr w:rsidR="005D0EB3" w:rsidRPr="005D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CB" w:rsidRDefault="00B618CB" w:rsidP="00681EBF">
      <w:r>
        <w:separator/>
      </w:r>
    </w:p>
  </w:endnote>
  <w:endnote w:type="continuationSeparator" w:id="0">
    <w:p w:rsidR="00B618CB" w:rsidRDefault="00B618CB" w:rsidP="0068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CB" w:rsidRDefault="00B618CB" w:rsidP="00681EBF">
      <w:r>
        <w:separator/>
      </w:r>
    </w:p>
  </w:footnote>
  <w:footnote w:type="continuationSeparator" w:id="0">
    <w:p w:rsidR="00B618CB" w:rsidRDefault="00B618CB" w:rsidP="0068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70BE"/>
    <w:multiLevelType w:val="hybridMultilevel"/>
    <w:tmpl w:val="21EEF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3"/>
    <w:rsid w:val="00020B79"/>
    <w:rsid w:val="000405F8"/>
    <w:rsid w:val="000415AA"/>
    <w:rsid w:val="00042FD3"/>
    <w:rsid w:val="00052191"/>
    <w:rsid w:val="00074A4A"/>
    <w:rsid w:val="00076A3C"/>
    <w:rsid w:val="0008306C"/>
    <w:rsid w:val="00092F8B"/>
    <w:rsid w:val="000A4F56"/>
    <w:rsid w:val="000C0955"/>
    <w:rsid w:val="000D027C"/>
    <w:rsid w:val="000F78B2"/>
    <w:rsid w:val="00104D60"/>
    <w:rsid w:val="00107D6A"/>
    <w:rsid w:val="001132CA"/>
    <w:rsid w:val="00120920"/>
    <w:rsid w:val="00144FC0"/>
    <w:rsid w:val="00146192"/>
    <w:rsid w:val="00207EDC"/>
    <w:rsid w:val="00211688"/>
    <w:rsid w:val="0022461B"/>
    <w:rsid w:val="00232214"/>
    <w:rsid w:val="00237F9E"/>
    <w:rsid w:val="0028171E"/>
    <w:rsid w:val="002A1103"/>
    <w:rsid w:val="002A15FE"/>
    <w:rsid w:val="002A6D34"/>
    <w:rsid w:val="002C17D0"/>
    <w:rsid w:val="002C3977"/>
    <w:rsid w:val="002C4402"/>
    <w:rsid w:val="002C5396"/>
    <w:rsid w:val="0030072E"/>
    <w:rsid w:val="0031793B"/>
    <w:rsid w:val="00323516"/>
    <w:rsid w:val="003508D7"/>
    <w:rsid w:val="0035440C"/>
    <w:rsid w:val="00361F50"/>
    <w:rsid w:val="00362011"/>
    <w:rsid w:val="003649F4"/>
    <w:rsid w:val="003729C7"/>
    <w:rsid w:val="003B71BC"/>
    <w:rsid w:val="003B7ABE"/>
    <w:rsid w:val="003C716D"/>
    <w:rsid w:val="003D3E6D"/>
    <w:rsid w:val="004313C2"/>
    <w:rsid w:val="0043316A"/>
    <w:rsid w:val="0044210C"/>
    <w:rsid w:val="00446F70"/>
    <w:rsid w:val="00453AB2"/>
    <w:rsid w:val="00454817"/>
    <w:rsid w:val="00466A0D"/>
    <w:rsid w:val="0048548D"/>
    <w:rsid w:val="00494835"/>
    <w:rsid w:val="004C2DD5"/>
    <w:rsid w:val="004C4B24"/>
    <w:rsid w:val="004E1BCC"/>
    <w:rsid w:val="004E5EC5"/>
    <w:rsid w:val="004F1BF4"/>
    <w:rsid w:val="0052520A"/>
    <w:rsid w:val="00526FCF"/>
    <w:rsid w:val="005330D4"/>
    <w:rsid w:val="00542178"/>
    <w:rsid w:val="00543349"/>
    <w:rsid w:val="00572127"/>
    <w:rsid w:val="005750AF"/>
    <w:rsid w:val="00577D59"/>
    <w:rsid w:val="005A68BF"/>
    <w:rsid w:val="005A6B02"/>
    <w:rsid w:val="005B4401"/>
    <w:rsid w:val="005B79A7"/>
    <w:rsid w:val="005D0EB3"/>
    <w:rsid w:val="005F12BC"/>
    <w:rsid w:val="005F7A37"/>
    <w:rsid w:val="00621B87"/>
    <w:rsid w:val="006353B0"/>
    <w:rsid w:val="00645729"/>
    <w:rsid w:val="00651081"/>
    <w:rsid w:val="006758DC"/>
    <w:rsid w:val="006760FA"/>
    <w:rsid w:val="00681EBF"/>
    <w:rsid w:val="006A4694"/>
    <w:rsid w:val="006B0A10"/>
    <w:rsid w:val="006C6692"/>
    <w:rsid w:val="0070493D"/>
    <w:rsid w:val="00720C5C"/>
    <w:rsid w:val="007369AC"/>
    <w:rsid w:val="007418A6"/>
    <w:rsid w:val="00745E24"/>
    <w:rsid w:val="007625AA"/>
    <w:rsid w:val="00763E40"/>
    <w:rsid w:val="007723F7"/>
    <w:rsid w:val="007772BA"/>
    <w:rsid w:val="007B5A99"/>
    <w:rsid w:val="007C1276"/>
    <w:rsid w:val="007D5906"/>
    <w:rsid w:val="007F6968"/>
    <w:rsid w:val="00825997"/>
    <w:rsid w:val="00832793"/>
    <w:rsid w:val="00834DA6"/>
    <w:rsid w:val="00864AF1"/>
    <w:rsid w:val="00866710"/>
    <w:rsid w:val="008709CF"/>
    <w:rsid w:val="00875240"/>
    <w:rsid w:val="00896359"/>
    <w:rsid w:val="008C1868"/>
    <w:rsid w:val="008C4FA3"/>
    <w:rsid w:val="008D6F91"/>
    <w:rsid w:val="008E06BE"/>
    <w:rsid w:val="008E67B9"/>
    <w:rsid w:val="008E7F1A"/>
    <w:rsid w:val="008F3E52"/>
    <w:rsid w:val="00913BE3"/>
    <w:rsid w:val="009175F5"/>
    <w:rsid w:val="009337E0"/>
    <w:rsid w:val="00952EFB"/>
    <w:rsid w:val="00954A21"/>
    <w:rsid w:val="0097485D"/>
    <w:rsid w:val="009808D1"/>
    <w:rsid w:val="00981EE5"/>
    <w:rsid w:val="0098260D"/>
    <w:rsid w:val="00996376"/>
    <w:rsid w:val="009A2901"/>
    <w:rsid w:val="009A3278"/>
    <w:rsid w:val="009B71B4"/>
    <w:rsid w:val="009D00D5"/>
    <w:rsid w:val="009D30FC"/>
    <w:rsid w:val="009F61A0"/>
    <w:rsid w:val="00A160EE"/>
    <w:rsid w:val="00A27953"/>
    <w:rsid w:val="00A32A12"/>
    <w:rsid w:val="00A37372"/>
    <w:rsid w:val="00A37990"/>
    <w:rsid w:val="00A702BA"/>
    <w:rsid w:val="00A75A32"/>
    <w:rsid w:val="00A94968"/>
    <w:rsid w:val="00AC098C"/>
    <w:rsid w:val="00B20C66"/>
    <w:rsid w:val="00B536CB"/>
    <w:rsid w:val="00B618CB"/>
    <w:rsid w:val="00B71125"/>
    <w:rsid w:val="00B765AF"/>
    <w:rsid w:val="00B84102"/>
    <w:rsid w:val="00B96AF7"/>
    <w:rsid w:val="00BD0C27"/>
    <w:rsid w:val="00BF10F9"/>
    <w:rsid w:val="00BF446F"/>
    <w:rsid w:val="00C266E2"/>
    <w:rsid w:val="00C36D6D"/>
    <w:rsid w:val="00C71F66"/>
    <w:rsid w:val="00C7697E"/>
    <w:rsid w:val="00C95EF4"/>
    <w:rsid w:val="00C97FDC"/>
    <w:rsid w:val="00CA3A31"/>
    <w:rsid w:val="00CC2560"/>
    <w:rsid w:val="00CD61EF"/>
    <w:rsid w:val="00CE5827"/>
    <w:rsid w:val="00CF38C6"/>
    <w:rsid w:val="00D154CD"/>
    <w:rsid w:val="00D21B75"/>
    <w:rsid w:val="00D35B18"/>
    <w:rsid w:val="00D52F68"/>
    <w:rsid w:val="00D55AE9"/>
    <w:rsid w:val="00D74FEE"/>
    <w:rsid w:val="00D77BCD"/>
    <w:rsid w:val="00D83DDC"/>
    <w:rsid w:val="00D94547"/>
    <w:rsid w:val="00DA1E93"/>
    <w:rsid w:val="00DD2F57"/>
    <w:rsid w:val="00E03237"/>
    <w:rsid w:val="00E16AFC"/>
    <w:rsid w:val="00E40D8E"/>
    <w:rsid w:val="00E50BBB"/>
    <w:rsid w:val="00E50F1E"/>
    <w:rsid w:val="00E5486D"/>
    <w:rsid w:val="00E67BB5"/>
    <w:rsid w:val="00E72BAD"/>
    <w:rsid w:val="00E97741"/>
    <w:rsid w:val="00EA6119"/>
    <w:rsid w:val="00EA7A40"/>
    <w:rsid w:val="00F113D9"/>
    <w:rsid w:val="00F11AC7"/>
    <w:rsid w:val="00F14F6E"/>
    <w:rsid w:val="00F306EF"/>
    <w:rsid w:val="00F507B6"/>
    <w:rsid w:val="00F734EF"/>
    <w:rsid w:val="00F94DD3"/>
    <w:rsid w:val="00FC01FA"/>
    <w:rsid w:val="00FC2D70"/>
    <w:rsid w:val="00FE014E"/>
    <w:rsid w:val="00FE54F7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FB55"/>
  <w15:chartTrackingRefBased/>
  <w15:docId w15:val="{3FDA82BA-515B-46E2-9860-138E18ED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E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C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plantpl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Ramsay</dc:creator>
  <cp:keywords/>
  <dc:description/>
  <cp:lastModifiedBy>Ramsay, Jodie</cp:lastModifiedBy>
  <cp:revision>7</cp:revision>
  <dcterms:created xsi:type="dcterms:W3CDTF">2018-02-22T04:14:00Z</dcterms:created>
  <dcterms:modified xsi:type="dcterms:W3CDTF">2018-03-03T21:51:00Z</dcterms:modified>
</cp:coreProperties>
</file>